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06" w:rsidRPr="00731406" w:rsidRDefault="00731406" w:rsidP="00731406">
      <w:pPr>
        <w:shd w:val="clear" w:color="auto" w:fill="F6F6F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Інформаційна</w:t>
      </w:r>
      <w:proofErr w:type="spell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довідка</w:t>
      </w:r>
      <w:proofErr w:type="spell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про</w:t>
      </w:r>
      <w:r w:rsidRPr="007314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ГЕНЕРАЛЬНИЙ ПЛАН </w:t>
      </w:r>
      <w:proofErr w:type="gram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</w:t>
      </w:r>
      <w:proofErr w:type="gram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 НОВОГРАДА – ВОЛИНСЬКОГО</w:t>
      </w:r>
      <w:r w:rsidRPr="007314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r w:rsidRPr="007314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06215" cy="4332605"/>
            <wp:effectExtent l="19050" t="0" r="0" b="0"/>
            <wp:docPr id="1" name="Рисунок 1" descr="http://novograd.osp-ua.info/userfiles/image/2013/02/04022013/0502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grad.osp-ua.info/userfiles/image/2013/02/04022013/0502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43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history="1">
        <w:proofErr w:type="gramStart"/>
        <w:r w:rsidRPr="00731406">
          <w:rPr>
            <w:rFonts w:ascii="Verdana" w:eastAsia="Times New Roman" w:hAnsi="Verdana" w:cs="Times New Roman"/>
            <w:color w:val="020C6F"/>
            <w:sz w:val="21"/>
            <w:u w:val="single"/>
            <w:lang w:eastAsia="ru-RU"/>
          </w:rPr>
          <w:t>Р</w:t>
        </w:r>
        <w:proofErr w:type="gramEnd"/>
        <w:r w:rsidRPr="00731406">
          <w:rPr>
            <w:rFonts w:ascii="Verdana" w:eastAsia="Times New Roman" w:hAnsi="Verdana" w:cs="Times New Roman"/>
            <w:color w:val="020C6F"/>
            <w:sz w:val="21"/>
            <w:u w:val="single"/>
            <w:lang w:eastAsia="ru-RU"/>
          </w:rPr>
          <w:t xml:space="preserve">ІШЕННЯ "Про </w:t>
        </w:r>
        <w:proofErr w:type="spellStart"/>
        <w:r w:rsidRPr="00731406">
          <w:rPr>
            <w:rFonts w:ascii="Verdana" w:eastAsia="Times New Roman" w:hAnsi="Verdana" w:cs="Times New Roman"/>
            <w:color w:val="020C6F"/>
            <w:sz w:val="21"/>
            <w:u w:val="single"/>
            <w:lang w:eastAsia="ru-RU"/>
          </w:rPr>
          <w:t>затвердження</w:t>
        </w:r>
        <w:proofErr w:type="spellEnd"/>
        <w:r w:rsidRPr="00731406">
          <w:rPr>
            <w:rFonts w:ascii="Verdana" w:eastAsia="Times New Roman" w:hAnsi="Verdana" w:cs="Times New Roman"/>
            <w:color w:val="020C6F"/>
            <w:sz w:val="21"/>
            <w:u w:val="single"/>
            <w:lang w:eastAsia="ru-RU"/>
          </w:rPr>
          <w:t xml:space="preserve"> Генерального плану </w:t>
        </w:r>
        <w:proofErr w:type="spellStart"/>
        <w:r w:rsidRPr="00731406">
          <w:rPr>
            <w:rFonts w:ascii="Verdana" w:eastAsia="Times New Roman" w:hAnsi="Verdana" w:cs="Times New Roman"/>
            <w:color w:val="020C6F"/>
            <w:sz w:val="21"/>
            <w:u w:val="single"/>
            <w:lang w:eastAsia="ru-RU"/>
          </w:rPr>
          <w:t>міста</w:t>
        </w:r>
        <w:proofErr w:type="spellEnd"/>
        <w:r w:rsidRPr="00731406">
          <w:rPr>
            <w:rFonts w:ascii="Verdana" w:eastAsia="Times New Roman" w:hAnsi="Verdana" w:cs="Times New Roman"/>
            <w:color w:val="020C6F"/>
            <w:sz w:val="21"/>
            <w:u w:val="single"/>
            <w:lang w:eastAsia="ru-RU"/>
          </w:rPr>
          <w:t xml:space="preserve"> </w:t>
        </w:r>
        <w:proofErr w:type="spellStart"/>
        <w:r w:rsidRPr="00731406">
          <w:rPr>
            <w:rFonts w:ascii="Verdana" w:eastAsia="Times New Roman" w:hAnsi="Verdana" w:cs="Times New Roman"/>
            <w:color w:val="020C6F"/>
            <w:sz w:val="21"/>
            <w:u w:val="single"/>
            <w:lang w:eastAsia="ru-RU"/>
          </w:rPr>
          <w:t>Новограда-Волинського</w:t>
        </w:r>
        <w:proofErr w:type="spellEnd"/>
        <w:r w:rsidRPr="00731406">
          <w:rPr>
            <w:rFonts w:ascii="Verdana" w:eastAsia="Times New Roman" w:hAnsi="Verdana" w:cs="Times New Roman"/>
            <w:color w:val="020C6F"/>
            <w:sz w:val="21"/>
            <w:u w:val="single"/>
            <w:lang w:eastAsia="ru-RU"/>
          </w:rPr>
          <w:t>"</w:t>
        </w:r>
      </w:hyperlink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являється</w:t>
      </w:r>
      <w:proofErr w:type="spellEnd"/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основною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містобудівною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документацією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системою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матеріалів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призначених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прогнозування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містобудівного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для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подальшого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використання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управління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містобудівною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діяльністю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Роботи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розробці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проекту Генерального плану м.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розпочато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жовтні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2004 року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договору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укладеного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між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виконавчим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комітетом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Новоград-Волинської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міської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ради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Українським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державним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науково-дослідним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інститутом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</w:t>
      </w:r>
      <w:proofErr w:type="spellEnd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„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іпромісто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“ № 629-01-2004.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В 2006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році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роботи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проектуванню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призупинені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зв’язку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відсутністю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фінансування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Додатковою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угодою № 1-2007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03.01.07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роботи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розробці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проекту 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Генерального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було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продовжено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 22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жовтня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2007 року на 12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сесії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міської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ради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розглянуто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схвалено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ескізний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 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Генерального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плану як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складову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частину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стратегічних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цілей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сталого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березні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2008 року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роботи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над проектом 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Генерального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було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завершено.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розробці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крім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авторського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колективу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фахівців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державного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науково-дослідного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інституту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</w:t>
      </w:r>
      <w:proofErr w:type="spellEnd"/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Діпромісто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прийняли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участь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субпідрядні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організацій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Науково-дослідний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інститут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демографії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іальних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досліджень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НАН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Київського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Промбудпроекту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Коротка характеристика </w:t>
      </w:r>
      <w:proofErr w:type="gram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Генерального</w:t>
      </w:r>
      <w:proofErr w:type="gram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плану: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     </w:t>
      </w: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Чисельність</w:t>
      </w:r>
      <w:proofErr w:type="spell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наявного</w:t>
      </w:r>
      <w:proofErr w:type="spell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населення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становить на 01.01.2007р. - 55,8 тис.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чоловік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відноситься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середніх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</w:t>
      </w:r>
      <w:proofErr w:type="spellEnd"/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      Прогноз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чисельності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населення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.Н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овограда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розроблено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інститутом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Діпромісто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 разом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Інститутом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демографії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соціальних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досліджень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НАН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2026 року.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Прогноз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чисельності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складу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населення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Новоград-Волинський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базувався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певних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методологічних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засадах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розраховувався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двох</w:t>
      </w:r>
      <w:proofErr w:type="spellEnd"/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варіантах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реалістичному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оптимістичному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Для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генерального плану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запропоновано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оптимістичний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варіант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яким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чисельність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населення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2026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складе 60 тис.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чоловік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     </w:t>
      </w: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Аналіз</w:t>
      </w:r>
      <w:proofErr w:type="spell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структури</w:t>
      </w:r>
      <w:proofErr w:type="spell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усіх</w:t>
      </w:r>
      <w:proofErr w:type="spell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зайнятих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за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галузями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економіки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ідчить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зайняті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виробничій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складають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39,8%, 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невиробничій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- 60,2 %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зайнятого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населення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Промисловість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містоформуючою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галуззю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економіки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кількість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зайнятих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5,2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тис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.ч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.). Основною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галуззю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спеціалізації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харчова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промисловість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обсягом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виробленої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продукції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вона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перше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- 24,0%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кількість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зайнятих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усіх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сферах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економічної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діяльності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збільшиться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5,7 тис.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чол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складе 27,0 тис.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чол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збільшить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івень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зайнятості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населення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51,0% до 65,0%.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Зазнає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змін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структура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зайнятих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видами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економічної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діяльності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розрахунковий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1,5 рази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збільшиться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питома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вага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зайнятих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будівництві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в 1,2 рази - 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транспорту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зв'язку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Збільшиться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частка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зайнятих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фінансовою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діяльністю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операціями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нерухомістю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охороною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здоров'я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іальною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допомогою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натомість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зменшиться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кількість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зайнятих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сільському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лісовому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господарстві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значного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набуде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туризм,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відчутний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поштовх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супутніх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галузей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економіки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торгівлі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громадського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харчування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готелям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ресторанам.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     </w:t>
      </w:r>
      <w:proofErr w:type="spellStart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Житловий</w:t>
      </w:r>
      <w:proofErr w:type="spellEnd"/>
      <w:r w:rsidRPr="0073140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фонд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станом на 01.01.07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складає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1124,2 тис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.м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площі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структурі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фонду 51%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становлять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одноквартирні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будинки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садибного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типу,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відповідно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питома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вага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багатоквартирних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будинків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становить 49%.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Існуюча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забезпеченість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мешканців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складає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20.2 м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людину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відповідає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середньо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українському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показнику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міській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місцевості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(20,9 м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/люд),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більш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ніж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2,5 рази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нижче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порівнянні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країнами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ЄС.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Ветхий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аварійний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складає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6,8 тис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(32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будинки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мешкає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360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чол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.). На квартирному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тих,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хто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потребує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поліпшення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умов,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перебуває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2397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сімей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основу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обсягі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структури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нового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покладено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наступні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принципи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    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розселення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сімей</w:t>
      </w:r>
      <w:proofErr w:type="spellEnd"/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фонді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кожна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родина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мешкає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окремій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квартирі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будинку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багатоквартирної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забудови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квартирами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ізних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типів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комфортності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комерційне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(І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категорія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нормованими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нижнім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ненормованим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верхніми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межами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площі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квартир,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забезпечують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рівень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комфорту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проживання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нижчий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мінімально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допустимий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соціальне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(II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категорія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нормованими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верхніми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нижніми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межами,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забезпечують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мінімально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допустимий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рівень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комфорту;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     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одноквартирної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забудови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будинками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загальною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площею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200 м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Необхідно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відзначити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потреби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іальному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також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реальна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частка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обсязі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встановлені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лише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соціального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квартирного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обліку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Враховуючи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зарубіжний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досвід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говорити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середньозважену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іального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обсязі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фонду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рівні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20-25%.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Однак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показник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поєднує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відокремлені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нас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поняття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соціального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муніципального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економ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припустити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державі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обсяги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іального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становити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5-7%, 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муніципального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економ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відповідно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15-20 %.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даними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Міністерства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оборони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м.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і-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Волинському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базі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існуючої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військової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частини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бригади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військових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контрактній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З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огляду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частка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соціального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обсязі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збільшена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10 %.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планом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передбачено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вибуття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існуючого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фонду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обсязі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41,5 тис. м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генерального плану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запропоновано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варіанти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будівництва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базувалися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ізних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варіантах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використання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територіальних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ресурсів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Варіанти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будівництва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були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розглянуті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засіданні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містобудівної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ради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відділу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арх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ітектури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містобудування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попереднього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розгляду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матеріалів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генерального плану, де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варіант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II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визнано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рекомендованим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генерального плану.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планом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пропонується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наступне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спі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ідношення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багатоквартирної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одноквартирної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садибної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забудови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-35:65.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урахуванням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принципів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покладені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основу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будівництва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передбачений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планом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обсяг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нового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фонду за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варіантом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межах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складе 755.0 тис. м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площі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нього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269.0 тис. м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багатоквартирний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486.0 тис. м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одноквартирний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кінець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складе 1837,7тис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забезпеченість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одного жителя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збільшиться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20,2 м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 30,6 м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2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Аналіз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ресурсних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можливостей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об'єктивно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існуючих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обмежень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просторового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росту дали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змогу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визначити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оптимальну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сельбищну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ємність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розрахунковий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принципом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розміщення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забудови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оптимальне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використання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існуючих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ільність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населення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кварталів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приймалась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рекомендованих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ДБН 360-92**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урахуванням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містобудівних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умов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комплексності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обслуговування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планом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запропоновано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розрахунковий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будівництва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440 га,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них: 35 га -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багатоквартирну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забудову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405 га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садибну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забудову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еколого-містобудівної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оцінки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планом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запропоновано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8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ділянок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будівництва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Розміщення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нового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фонду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вільних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забудови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територіях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(82 га), землях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сільськогосподарського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призначення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(200 га),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територіях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реконструкції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військової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частини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(40,0 га) та землях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Міністерства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оборони (118 га).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межах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пропонується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розміщення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житлового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будівництва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160 га, за межами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-280 га.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генерального плану,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розвиток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спрямований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ідвищення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якості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життя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населення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proofErr w:type="gramEnd"/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1. 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розвиток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центральної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частини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за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рахунок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вибіркової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реконструкції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ущільнення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існуючої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забудови</w:t>
      </w:r>
      <w:proofErr w:type="spellEnd"/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2.  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подальший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розвиток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сельбищних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територій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впровадження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р</w:t>
      </w:r>
      <w:proofErr w:type="gram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ізноманітних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найбільш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комфортних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типів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житла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: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багатоквартирної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забудови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Морського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центральній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східній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частинах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котеджної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(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садибної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забудови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) 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Морського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східної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частини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територіях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івденно-східній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частині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котеджної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(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блокованої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забудови</w:t>
      </w:r>
      <w:proofErr w:type="spellEnd"/>
      <w:proofErr w:type="gram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)н</w:t>
      </w:r>
      <w:proofErr w:type="gram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а 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ділянках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: «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Болгарське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містечко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», «</w:t>
      </w:r>
      <w:proofErr w:type="spell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Східна</w:t>
      </w:r>
      <w:proofErr w:type="spellEnd"/>
      <w:proofErr w:type="gramStart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»,;</w:t>
      </w:r>
      <w:proofErr w:type="gramEnd"/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3. 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упорядкування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забудови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реорганізацію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комунальних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промислових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зон</w:t>
      </w:r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: </w:t>
      </w: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Додаткове приєднання територій 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ід розміщення логістичних центрів та виробничих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підприємств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175 га.;</w:t>
      </w:r>
    </w:p>
    <w:tbl>
      <w:tblPr>
        <w:tblW w:w="5000" w:type="pct"/>
        <w:jc w:val="center"/>
        <w:tblCellSpacing w:w="0" w:type="dxa"/>
        <w:tblBorders>
          <w:top w:val="single" w:sz="6" w:space="0" w:color="A0A0AA"/>
          <w:left w:val="single" w:sz="6" w:space="0" w:color="A0A0AA"/>
          <w:bottom w:val="single" w:sz="6" w:space="0" w:color="A0A0AA"/>
          <w:right w:val="single" w:sz="6" w:space="0" w:color="A0A0AA"/>
        </w:tblBorders>
        <w:shd w:val="clear" w:color="auto" w:fill="F6F6FC"/>
        <w:tblCellMar>
          <w:left w:w="0" w:type="dxa"/>
          <w:right w:w="0" w:type="dxa"/>
        </w:tblCellMar>
        <w:tblLook w:val="04A0"/>
      </w:tblPr>
      <w:tblGrid>
        <w:gridCol w:w="966"/>
        <w:gridCol w:w="1117"/>
        <w:gridCol w:w="4937"/>
        <w:gridCol w:w="2537"/>
      </w:tblGrid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№№ </w:t>
            </w:r>
            <w:proofErr w:type="spellStart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№№ по ГП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ідприємства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Примітка</w:t>
            </w:r>
            <w:proofErr w:type="spell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 -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Волинський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каменедробильний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завод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„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Плодоовоч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торг"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Склади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ВАТ „Шляхи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Полісся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Райагрохім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Райагрохім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Агрохімічна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лабораторія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ПП „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Моноліт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Ново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філія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TOB „Мета"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ДП „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Трансексім-сервіс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 TOB „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Трансексім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Нафтобаза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TOB „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Альянс-Граніт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 (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територія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нафтобази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Філія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ПП „Ель мет"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ВАТ „Новоград -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Волинськсільмаш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ВАТ „Новоград -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Волинський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хлібзавод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</w:t>
            </w:r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БМУ-9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</w:t>
            </w:r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Вугільний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склад КЕЧ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Смі</w:t>
            </w:r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тт</w:t>
            </w:r>
            <w:proofErr w:type="gram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єзвалище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„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Новоград-Волинський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завод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продтоварі</w:t>
            </w:r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“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ПП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Ружицький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Г.А.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ДП „Ритм“ ВАТ ЗПТ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„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Новоград-Волинський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м’ясопродукт</w:t>
            </w:r>
            <w:proofErr w:type="spellEnd"/>
            <w:proofErr w:type="gram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“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„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Біоветфарм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“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Смі</w:t>
            </w:r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тт</w:t>
            </w:r>
            <w:proofErr w:type="gram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єзвалище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ПП „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Меблева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фабрика „МІРТ“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Перепрофілювання</w:t>
            </w:r>
            <w:proofErr w:type="spellEnd"/>
          </w:p>
        </w:tc>
      </w:tr>
      <w:tr w:rsidR="00731406" w:rsidRPr="00731406" w:rsidTr="00731406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Забійний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цех </w:t>
            </w:r>
            <w:proofErr w:type="spellStart"/>
            <w:proofErr w:type="gram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’ясокомбінату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31406" w:rsidRPr="00731406" w:rsidRDefault="00731406" w:rsidP="007314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Винос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7314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</w:tr>
    </w:tbl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4.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розвиток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інженерної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транспортної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інфраструктури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;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5. 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розвиток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рекреаційної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зони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-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організація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рекреаційної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зони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вздовж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ічок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Смолки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Случ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(86 га);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6.</w:t>
      </w:r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розвиток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об'єктів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обслуговування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населення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.</w:t>
      </w:r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Розрахунок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потреби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установах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ідприємствах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обслуговування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виконано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урахуванням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100 %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забезпеченості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населення</w:t>
      </w:r>
      <w:proofErr w:type="spellEnd"/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іально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гарантованим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рівнем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обслуговування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розміщення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дитячих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дошкільних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шкіл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поліклі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лікарень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Крім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того,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розміщення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унікальних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об'єктів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обслуговування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таких як: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веломототрек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оздоровчо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реабілітаційний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центр,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торгівельно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розважальні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комплекс, дитячий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розважальний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комплекс;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7</w:t>
      </w:r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.</w:t>
      </w:r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створення</w:t>
      </w:r>
      <w:proofErr w:type="spell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паркі</w:t>
      </w:r>
      <w:proofErr w:type="gram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в</w:t>
      </w:r>
      <w:proofErr w:type="spellEnd"/>
      <w:proofErr w:type="gram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gram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та</w:t>
      </w:r>
      <w:proofErr w:type="gramEnd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скверів</w:t>
      </w:r>
      <w:proofErr w:type="spellEnd"/>
      <w:r w:rsidRPr="0073140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.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площа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зелених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насаджень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користування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розрахунковий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становитиме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майже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 га,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покриває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нормативну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потребу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зелених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насадженнях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загального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користування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ідставі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передбаченого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проектом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перспективи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економіки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соціальної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інженерно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транспортної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інфраструктури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визначено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потребу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територіях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всіх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будівництва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яка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розрахунковий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складає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1000 га,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350 га -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розмішується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існуючих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межах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690 га - за межами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Крім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того,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передбачається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включення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межі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320 га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існуючої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забудови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межах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складатиме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розрахунковий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4135 га.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 Проект Генерального плану м.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обговорено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засіданні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міської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арх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ітектурно-містобудувної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ради 18.03.08. 18.03.08 проведено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громадські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слухання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депутатів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міської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ради,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представників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виконавчого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комітету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політичних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партій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ЗМІ.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Отримано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відгук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матеріали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проекту Генерального плану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Житомирської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організації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спілки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арх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ітекторів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резолюцією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підтримання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розробленого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Генерального плану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пропонування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затвердження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висновок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Управління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містобудування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архітектури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щодо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складу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змісту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проекту Генерального плану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.Н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резолюцією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рекомендації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розгляду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обласній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архітектурно-містобудівній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раді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затвердження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порядку.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червня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2008 року проект Генерального плану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розглянуто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засідання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обласної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арх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ітектурно-містобудівної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ради.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Ухвалили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 Генерального плану </w:t>
      </w: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погодити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затвердження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установленому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законодавством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порядку.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Рекомендувати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Новоград-Волинській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міській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раді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вирішувати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питання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виготовлення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прибережно-захисних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смуг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водойм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18.06.08 за № 01/69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отримано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довідку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ЖОС „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Укрінвестекспертизи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“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рекомендацією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затвердженню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Генерального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плану м.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406" w:rsidRPr="00731406" w:rsidRDefault="00731406" w:rsidP="00731406">
      <w:pPr>
        <w:shd w:val="clear" w:color="auto" w:fill="F6F6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ішенням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Новоград-Волинської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міської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ради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11.09.08 №373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Генеральний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Новограда-Волинського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2026 року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було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остаточно </w:t>
      </w:r>
      <w:proofErr w:type="spellStart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затверджено</w:t>
      </w:r>
      <w:proofErr w:type="spellEnd"/>
      <w:r w:rsidRPr="007314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6283B" w:rsidRDefault="00731406"/>
    <w:sectPr w:rsidR="0076283B" w:rsidSect="006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1406"/>
    <w:rsid w:val="004E6A5F"/>
    <w:rsid w:val="006F4209"/>
    <w:rsid w:val="00731406"/>
    <w:rsid w:val="0088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06"/>
    <w:rPr>
      <w:b/>
      <w:bCs/>
    </w:rPr>
  </w:style>
  <w:style w:type="character" w:styleId="a5">
    <w:name w:val="Hyperlink"/>
    <w:basedOn w:val="a0"/>
    <w:uiPriority w:val="99"/>
    <w:semiHidden/>
    <w:unhideWhenUsed/>
    <w:rsid w:val="00731406"/>
    <w:rPr>
      <w:color w:val="0000FF"/>
      <w:u w:val="single"/>
    </w:rPr>
  </w:style>
  <w:style w:type="character" w:styleId="a6">
    <w:name w:val="Emphasis"/>
    <w:basedOn w:val="a0"/>
    <w:uiPriority w:val="20"/>
    <w:qFormat/>
    <w:rsid w:val="0073140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grad.osp-ua.info/file/genplan-rish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10775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2018-03-01T21:47:00Z</dcterms:created>
  <dcterms:modified xsi:type="dcterms:W3CDTF">2018-03-01T21:47:00Z</dcterms:modified>
</cp:coreProperties>
</file>